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033F0" w14:textId="60ACA153" w:rsidR="36CD0169" w:rsidRDefault="00CC6FB8" w:rsidP="36CD0169">
      <w:pPr>
        <w:jc w:val="both"/>
        <w:rPr>
          <w:rFonts w:cstheme="minorHAnsi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Projekt DE-AT-PL-4M MC (</w:t>
      </w:r>
      <w:r w:rsidR="005B2D89">
        <w:rPr>
          <w:b/>
          <w:bCs/>
          <w:sz w:val="28"/>
          <w:szCs w:val="28"/>
          <w:u w:val="single"/>
        </w:rPr>
        <w:t>tymczasowe łączenie rynków</w:t>
      </w:r>
      <w:r>
        <w:rPr>
          <w:b/>
          <w:bCs/>
          <w:sz w:val="28"/>
          <w:szCs w:val="28"/>
          <w:u w:val="single"/>
        </w:rPr>
        <w:t>)</w:t>
      </w:r>
    </w:p>
    <w:p w14:paraId="3722A7C7" w14:textId="6E6FE2EA" w:rsidR="00EE6D1E" w:rsidRPr="00AB21E6" w:rsidRDefault="00EE6D1E" w:rsidP="36CD0169">
      <w:pPr>
        <w:jc w:val="both"/>
        <w:rPr>
          <w:rFonts w:cstheme="minorHAnsi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Opublikowano w marcu 2020 r.</w:t>
      </w:r>
    </w:p>
    <w:p w14:paraId="404BA9B4" w14:textId="424F4830" w:rsidR="00C931E0" w:rsidRDefault="0092167D" w:rsidP="36CD0169">
      <w:pPr>
        <w:jc w:val="both"/>
        <w:rPr>
          <w:rFonts w:cstheme="minorHAnsi"/>
          <w:b/>
          <w:bCs/>
        </w:rPr>
      </w:pPr>
      <w:r>
        <w:rPr>
          <w:b/>
          <w:bCs/>
        </w:rPr>
        <w:t>Cel dokumentu</w:t>
      </w:r>
    </w:p>
    <w:p w14:paraId="76912629" w14:textId="6D8D630A" w:rsidR="0092167D" w:rsidRPr="00AB21E6" w:rsidRDefault="0092167D" w:rsidP="006C18A4">
      <w:pPr>
        <w:spacing w:after="240"/>
        <w:jc w:val="both"/>
        <w:rPr>
          <w:rFonts w:cstheme="minorHAnsi"/>
        </w:rPr>
      </w:pPr>
      <w:r>
        <w:t>Niniejszy dokument zawiera podsumowanie najważniejszych informacji dla uczestników rynku na temat projektu</w:t>
      </w:r>
      <w:r w:rsidR="005B2D89">
        <w:t xml:space="preserve"> tymczasowego łączenia rynków</w:t>
      </w:r>
      <w:r>
        <w:t xml:space="preserve"> </w:t>
      </w:r>
      <w:r w:rsidR="005B2D89">
        <w:t>(</w:t>
      </w:r>
      <w:r>
        <w:t>Interim Coupling</w:t>
      </w:r>
      <w:r w:rsidR="005B2D89">
        <w:t>)</w:t>
      </w:r>
      <w:r>
        <w:t>.</w:t>
      </w:r>
    </w:p>
    <w:p w14:paraId="40AF1ED3" w14:textId="51622D77" w:rsidR="00E77ECE" w:rsidRPr="005E1B90" w:rsidRDefault="00E77ECE" w:rsidP="36CD0169">
      <w:pPr>
        <w:jc w:val="both"/>
        <w:rPr>
          <w:rFonts w:cstheme="minorHAnsi"/>
          <w:b/>
          <w:bCs/>
        </w:rPr>
      </w:pPr>
      <w:r>
        <w:rPr>
          <w:b/>
          <w:bCs/>
        </w:rPr>
        <w:t>Co jest podstawowym celem przedsięwzięcia?</w:t>
      </w:r>
    </w:p>
    <w:p w14:paraId="76BB4745" w14:textId="27085F5C" w:rsidR="0092167D" w:rsidRPr="00143A03" w:rsidRDefault="005E1B90" w:rsidP="00143A03">
      <w:pPr>
        <w:spacing w:after="360"/>
        <w:jc w:val="both"/>
        <w:rPr>
          <w:rFonts w:cstheme="minorHAnsi"/>
        </w:rPr>
      </w:pPr>
      <w:r>
        <w:t xml:space="preserve">Celem projektu Interim Coupling jest wprowadzenie łączenia rynków dnia następnego obszarów MRC oraz 4MMC w oparciu o wyznaczanie zdolności przesyłowych netto (NTC) na granicach </w:t>
      </w:r>
      <w:r w:rsidR="007721A4">
        <w:t xml:space="preserve">pomiędzy </w:t>
      </w:r>
      <w:r>
        <w:t>odnośny</w:t>
      </w:r>
      <w:r w:rsidR="007721A4">
        <w:t>mi</w:t>
      </w:r>
      <w:r>
        <w:t xml:space="preserve"> stref</w:t>
      </w:r>
      <w:r w:rsidR="007721A4">
        <w:t>ami</w:t>
      </w:r>
      <w:r>
        <w:t xml:space="preserve"> cenowy</w:t>
      </w:r>
      <w:r w:rsidR="007721A4">
        <w:t>mi</w:t>
      </w:r>
      <w:r>
        <w:t>, tj.: DE-CZ, DE-PL, PL-CZ, PL-SK, CZ-AT, AT-HU, a tym samym stworzenie jednolitego europejskiego rynku dnia następnego (SDAC). Poprzez wprowadzenie domyślnej alokacji zdolności przesyłowych na wymienionych granicach stref cenowych, w obu regionach tworzących SDAC, czyli  MRC i 4MMC, stosowany będzie jednolity proces alokacji zdolności na rynku dnia następnego.</w:t>
      </w:r>
    </w:p>
    <w:p w14:paraId="66655A78" w14:textId="58B4737C" w:rsidR="008B447C" w:rsidRDefault="008B447C" w:rsidP="006C18A4">
      <w:pPr>
        <w:spacing w:after="360"/>
        <w:jc w:val="center"/>
        <w:rPr>
          <w:rFonts w:cstheme="minorHAnsi"/>
          <w:bCs/>
          <w:sz w:val="20"/>
        </w:rPr>
      </w:pPr>
      <w:r>
        <w:rPr>
          <w:noProof/>
        </w:rPr>
        <w:drawing>
          <wp:inline distT="0" distB="0" distL="0" distR="0" wp14:anchorId="1DBF4001" wp14:editId="5224CBCD">
            <wp:extent cx="4071620" cy="3690579"/>
            <wp:effectExtent l="0" t="0" r="5080" b="571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369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C9E6" w14:textId="619D30C8" w:rsidR="0092167D" w:rsidRPr="001A29DE" w:rsidRDefault="008E6C45" w:rsidP="005E1B90">
      <w:pPr>
        <w:spacing w:after="360"/>
        <w:jc w:val="both"/>
        <w:rPr>
          <w:rFonts w:cstheme="minorHAnsi"/>
          <w:bCs/>
          <w:sz w:val="20"/>
        </w:rPr>
      </w:pPr>
      <w:r>
        <w:rPr>
          <w:bCs/>
          <w:sz w:val="20"/>
        </w:rPr>
        <w:t xml:space="preserve">Ryc. 1: </w:t>
      </w:r>
      <w:r>
        <w:rPr>
          <w:bCs/>
          <w:color w:val="2F5496" w:themeColor="accent5" w:themeShade="BF"/>
          <w:sz w:val="20"/>
        </w:rPr>
        <w:t>SDAC – ciemnoniebieski: Region MRC</w:t>
      </w:r>
      <w:r>
        <w:rPr>
          <w:bCs/>
          <w:sz w:val="20"/>
        </w:rPr>
        <w:t xml:space="preserve">; </w:t>
      </w:r>
      <w:r>
        <w:rPr>
          <w:bCs/>
          <w:color w:val="9CC2E5" w:themeColor="accent1" w:themeTint="99"/>
          <w:sz w:val="20"/>
        </w:rPr>
        <w:t>jasnoniebieski: Region 4MMC</w:t>
      </w:r>
    </w:p>
    <w:p w14:paraId="1B417A4F" w14:textId="77777777" w:rsidR="00143A03" w:rsidRDefault="005944B4" w:rsidP="36CD0169">
      <w:pPr>
        <w:jc w:val="both"/>
      </w:pPr>
      <w:r>
        <w:lastRenderedPageBreak/>
        <w:t xml:space="preserve">Projekt ma być w założeniu pośrednim krokiem zmierzającym do wdrożenia mechanizmu łączenia rynków z uwzględnieniem </w:t>
      </w:r>
      <w:r w:rsidR="007721A4">
        <w:t>dostępnych zdolności przesyłowych wyznaczonych przy pomocy metodologii „</w:t>
      </w:r>
      <w:proofErr w:type="spellStart"/>
      <w:r w:rsidR="007721A4">
        <w:t>flow</w:t>
      </w:r>
      <w:proofErr w:type="spellEnd"/>
      <w:r w:rsidR="007721A4">
        <w:t xml:space="preserve"> </w:t>
      </w:r>
      <w:proofErr w:type="spellStart"/>
      <w:r w:rsidR="007721A4">
        <w:t>based</w:t>
      </w:r>
      <w:proofErr w:type="spellEnd"/>
      <w:r w:rsidR="007721A4">
        <w:t>”</w:t>
      </w:r>
      <w:r>
        <w:t xml:space="preserve"> (ang. Flow-Based Market Coupling – FBMC) w regionie Core. Wyznaczanie i alokacja przepustowości</w:t>
      </w:r>
      <w:r w:rsidR="00E542B6">
        <w:t>,</w:t>
      </w:r>
      <w:r>
        <w:t xml:space="preserve"> w oparciu o wyznaczanie zdolności przesyłowych netto (NTC)</w:t>
      </w:r>
      <w:r w:rsidR="00E542B6">
        <w:t>,</w:t>
      </w:r>
      <w:r>
        <w:t xml:space="preserve"> na wyżej </w:t>
      </w:r>
    </w:p>
    <w:p w14:paraId="5C1B6F08" w14:textId="39FDF042" w:rsidR="00053132" w:rsidRPr="00053132" w:rsidRDefault="005944B4" w:rsidP="36CD0169">
      <w:pPr>
        <w:jc w:val="both"/>
        <w:rPr>
          <w:rFonts w:cstheme="minorHAnsi"/>
          <w:bCs/>
        </w:rPr>
      </w:pPr>
      <w:r>
        <w:t>wymienionych granicach zostan</w:t>
      </w:r>
      <w:r w:rsidR="00E542B6">
        <w:t>ą</w:t>
      </w:r>
      <w:r>
        <w:t xml:space="preserve"> zastąpione mechanizmem </w:t>
      </w:r>
      <w:r w:rsidR="007721A4">
        <w:t>„</w:t>
      </w:r>
      <w:proofErr w:type="spellStart"/>
      <w:r w:rsidR="007721A4">
        <w:t>flow</w:t>
      </w:r>
      <w:proofErr w:type="spellEnd"/>
      <w:r w:rsidR="007721A4">
        <w:t xml:space="preserve"> </w:t>
      </w:r>
      <w:proofErr w:type="spellStart"/>
      <w:r w:rsidR="007721A4">
        <w:t>based</w:t>
      </w:r>
      <w:proofErr w:type="spellEnd"/>
      <w:r w:rsidR="007721A4">
        <w:t>”</w:t>
      </w:r>
      <w:r>
        <w:t xml:space="preserve"> z chwilą wdrożenia mechanizmu FB</w:t>
      </w:r>
      <w:r w:rsidR="007721A4">
        <w:t xml:space="preserve"> </w:t>
      </w:r>
      <w:r>
        <w:t xml:space="preserve">MC w regionie </w:t>
      </w:r>
      <w:proofErr w:type="spellStart"/>
      <w:r>
        <w:t>Core</w:t>
      </w:r>
      <w:proofErr w:type="spellEnd"/>
      <w:r>
        <w:t xml:space="preserve">. </w:t>
      </w:r>
    </w:p>
    <w:p w14:paraId="44BC9B42" w14:textId="0DD83C36" w:rsidR="00CC6FB8" w:rsidRPr="005E1B90" w:rsidRDefault="00CC6FB8" w:rsidP="001A29DE">
      <w:pPr>
        <w:keepNext/>
        <w:jc w:val="both"/>
        <w:rPr>
          <w:rFonts w:cstheme="minorHAnsi"/>
          <w:b/>
          <w:bCs/>
        </w:rPr>
      </w:pPr>
      <w:r>
        <w:rPr>
          <w:b/>
          <w:bCs/>
        </w:rPr>
        <w:t xml:space="preserve">Jakie zasadnicze zmiany dla uczestników rynku przyniesie ten projekt? </w:t>
      </w:r>
    </w:p>
    <w:p w14:paraId="5956D33B" w14:textId="41CCB374" w:rsidR="0094581C" w:rsidRPr="005E1B90" w:rsidRDefault="0094581C" w:rsidP="006C18A4">
      <w:pPr>
        <w:keepNext/>
        <w:spacing w:after="0"/>
        <w:jc w:val="both"/>
        <w:rPr>
          <w:rFonts w:cstheme="minorHAnsi"/>
        </w:rPr>
      </w:pPr>
      <w:r>
        <w:t xml:space="preserve">Główne konsekwencje dla uczestników rynku są następujące: </w:t>
      </w:r>
    </w:p>
    <w:p w14:paraId="0DFD2328" w14:textId="7A198776" w:rsidR="00F04A6B" w:rsidRDefault="00772B5E" w:rsidP="001A29DE">
      <w:pPr>
        <w:pStyle w:val="Akapitzlist"/>
        <w:keepNext/>
        <w:numPr>
          <w:ilvl w:val="0"/>
          <w:numId w:val="2"/>
        </w:numPr>
        <w:jc w:val="both"/>
        <w:rPr>
          <w:rFonts w:cstheme="minorHAnsi"/>
        </w:rPr>
      </w:pPr>
      <w:r>
        <w:t xml:space="preserve">Na całym obszarze objętym SDAC obowiązywać będzie ujednolicona godzina zamknięcia bramki zleceń (GCT) na rynku dnia następnego dla wszystkich stref cenowych i będzie to godzina 12:00. W ten sposób uczestnicy rynku ze stref cenowych CZ, SK, HU i RO będą mieli możliwość składania ofert o godzinę dłużej. Dokładne terminy publikacji wyników rynkowych zostaną odpowiednio dostosowane i podane do wiadomości w odpowiednim czasie przed uruchomieniem. </w:t>
      </w:r>
    </w:p>
    <w:p w14:paraId="5D92F2FB" w14:textId="60659D80" w:rsidR="002B6318" w:rsidRPr="005E1B90" w:rsidRDefault="002B6318" w:rsidP="001A29DE">
      <w:pPr>
        <w:pStyle w:val="Akapitzlist"/>
        <w:keepNext/>
        <w:numPr>
          <w:ilvl w:val="0"/>
          <w:numId w:val="2"/>
        </w:numPr>
        <w:jc w:val="both"/>
        <w:rPr>
          <w:rFonts w:cstheme="minorHAnsi"/>
        </w:rPr>
      </w:pPr>
      <w:r>
        <w:rPr>
          <w:rFonts w:asciiTheme="minorHAnsi" w:hAnsiTheme="minorHAnsi"/>
        </w:rPr>
        <w:t>Obszar SDAC obejmujący dawne regiony MRC i 4MMC powinien, ze względu na większą skalę, przynieść więcej możliwości obrotu na rynku dnia następnego.</w:t>
      </w:r>
    </w:p>
    <w:p w14:paraId="4B189EDE" w14:textId="499411DF" w:rsidR="00C577B8" w:rsidRPr="005E1B90" w:rsidRDefault="00AB5C9F" w:rsidP="00F04A6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t xml:space="preserve">Codzienne aukcje </w:t>
      </w:r>
      <w:r w:rsidRPr="005B2D89">
        <w:rPr>
          <w:i/>
          <w:iCs/>
        </w:rPr>
        <w:t>explicit</w:t>
      </w:r>
      <w:r>
        <w:t xml:space="preserve"> prowadzone za pośrednictwem Wspólnego Biura Aukcyjnego (JAO) na </w:t>
      </w:r>
      <w:r>
        <w:rPr>
          <w:rFonts w:asciiTheme="minorHAnsi" w:hAnsiTheme="minorHAnsi"/>
        </w:rPr>
        <w:t>granicach stref cenowych DE-CZ, DE-PL, PL-CZ, PL-SK, CZ-AT i AT-HU zostaną wstrzymane i</w:t>
      </w:r>
      <w:r w:rsidR="005B2D89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zastąpione domyślną alokacją zdolności transgranicznych za pośrednictwem platform obrotu Nominowanych Operatorów Rynku Energii. </w:t>
      </w:r>
    </w:p>
    <w:p w14:paraId="69845ECE" w14:textId="4613AAEC" w:rsidR="003D0D96" w:rsidRPr="006C18A4" w:rsidRDefault="003C1986" w:rsidP="006C18A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Alokacja domyślna na tych granicach pozwoli na bardziej efektywną alokację międzystrefowych zdolności przesyłowych na europejskim rynku dnia następnego.   </w:t>
      </w:r>
    </w:p>
    <w:p w14:paraId="7F1F703F" w14:textId="611B6F69" w:rsidR="00413243" w:rsidRDefault="00F62634" w:rsidP="00F04A6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W ramach projektu przewiduje się </w:t>
      </w:r>
      <w:r w:rsidR="007721A4">
        <w:rPr>
          <w:rFonts w:asciiTheme="minorHAnsi" w:hAnsiTheme="minorHAnsi"/>
        </w:rPr>
        <w:t xml:space="preserve">możliwość </w:t>
      </w:r>
      <w:r w:rsidR="00093ADC">
        <w:rPr>
          <w:rFonts w:asciiTheme="minorHAnsi" w:hAnsiTheme="minorHAnsi"/>
        </w:rPr>
        <w:t>awaryjnego zastosowania</w:t>
      </w:r>
      <w:r w:rsidR="007721A4">
        <w:rPr>
          <w:rFonts w:asciiTheme="minorHAnsi" w:hAnsiTheme="minorHAnsi"/>
        </w:rPr>
        <w:t xml:space="preserve"> procedury</w:t>
      </w:r>
      <w:r>
        <w:rPr>
          <w:rFonts w:asciiTheme="minorHAnsi" w:hAnsiTheme="minorHAnsi"/>
        </w:rPr>
        <w:t xml:space="preserve"> częściowego oddzielenia </w:t>
      </w:r>
      <w:r w:rsidR="007721A4">
        <w:rPr>
          <w:rFonts w:asciiTheme="minorHAnsi" w:hAnsiTheme="minorHAnsi"/>
        </w:rPr>
        <w:t>niektórych stref cenowych</w:t>
      </w:r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Partial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Decoupling</w:t>
      </w:r>
      <w:proofErr w:type="spellEnd"/>
      <w:r>
        <w:rPr>
          <w:rFonts w:asciiTheme="minorHAnsi" w:hAnsiTheme="minorHAnsi"/>
        </w:rPr>
        <w:t xml:space="preserve">). Partial Decoupling to sytuacja, w której </w:t>
      </w:r>
      <w:r w:rsidR="00E542B6">
        <w:rPr>
          <w:rFonts w:asciiTheme="minorHAnsi" w:hAnsiTheme="minorHAnsi"/>
        </w:rPr>
        <w:t xml:space="preserve">na dany dzień </w:t>
      </w:r>
      <w:r>
        <w:rPr>
          <w:rFonts w:asciiTheme="minorHAnsi" w:hAnsiTheme="minorHAnsi"/>
        </w:rPr>
        <w:t>nie jest możliwa alokacja zdolności międzystrefowych w drodze alokacji domyślnej dla jednej lub kilku stref cenowych i/lub połączeń wzajemnych przed upływem obowiązującego terminu. W tym przypadku granice, których to dotyczy</w:t>
      </w:r>
      <w:r w:rsidR="00093AD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zostaną wydzielone z połączonego rynku i zastosowany zostanie mechanizm awaryjny (fallback mechanism), natomiast pozostałe granice pozostaną objęte wspólnym mechanizmem domyślnej alokacji.</w:t>
      </w:r>
    </w:p>
    <w:p w14:paraId="78E6C57A" w14:textId="4A860EB3" w:rsidR="00712E26" w:rsidRPr="006C18A4" w:rsidRDefault="00F41D79" w:rsidP="006C18A4">
      <w:pPr>
        <w:pStyle w:val="Akapitzlist"/>
        <w:numPr>
          <w:ilvl w:val="0"/>
          <w:numId w:val="2"/>
        </w:num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W ramach mechanizmu awaryjnego w przypadku nieskutecznego działania połączonego rynku, JAO będzie prowadzić równoległe aukcje typu </w:t>
      </w:r>
      <w:r w:rsidRPr="005B2D89">
        <w:rPr>
          <w:rFonts w:asciiTheme="minorHAnsi" w:hAnsiTheme="minorHAnsi"/>
          <w:i/>
          <w:iCs/>
        </w:rPr>
        <w:t>explicit</w:t>
      </w:r>
      <w:r>
        <w:rPr>
          <w:rFonts w:asciiTheme="minorHAnsi" w:hAnsiTheme="minorHAnsi"/>
        </w:rPr>
        <w:t xml:space="preserve"> (</w:t>
      </w:r>
      <w:r w:rsidR="005B2D89">
        <w:rPr>
          <w:rFonts w:asciiTheme="minorHAnsi" w:hAnsiTheme="minorHAnsi"/>
        </w:rPr>
        <w:t xml:space="preserve">ang. </w:t>
      </w:r>
      <w:r>
        <w:rPr>
          <w:rFonts w:asciiTheme="minorHAnsi" w:hAnsiTheme="minorHAnsi"/>
        </w:rPr>
        <w:t>shadow explicit auctions) na wszystkich objętych nim granicach.</w:t>
      </w:r>
    </w:p>
    <w:p w14:paraId="3B5E81AB" w14:textId="796EF69C" w:rsidR="002A756F" w:rsidRPr="002A756F" w:rsidRDefault="00C125BF" w:rsidP="36CD0169">
      <w:pPr>
        <w:jc w:val="both"/>
        <w:rPr>
          <w:rFonts w:cstheme="minorHAnsi"/>
          <w:b/>
          <w:bCs/>
          <w:sz w:val="20"/>
          <w:szCs w:val="20"/>
        </w:rPr>
      </w:pPr>
      <w:r>
        <w:rPr>
          <w:b/>
          <w:bCs/>
          <w:color w:val="000000" w:themeColor="text1"/>
        </w:rPr>
        <w:t>Jak uczestnicy rynku będą mogli uczestniczyć w testach?</w:t>
      </w:r>
    </w:p>
    <w:p w14:paraId="7263E465" w14:textId="233395A0" w:rsidR="005D6095" w:rsidRDefault="00424990" w:rsidP="006C18A4">
      <w:pPr>
        <w:spacing w:after="240"/>
        <w:jc w:val="both"/>
        <w:rPr>
          <w:color w:val="000000" w:themeColor="text1"/>
        </w:rPr>
      </w:pPr>
      <w:r>
        <w:rPr>
          <w:color w:val="000000" w:themeColor="text1"/>
        </w:rPr>
        <w:t>Przewiduje się okres próbny z udziałem uczestników rynku, który potrwa 2 tygodnie. W tym okresie uczestnicy rynku będą mieli możliwość zapoznania się z odpowiednimi procedurami i terminami, jakie będą obowiązywały po uruchomieniu nowego rozwiązania. Podejście to jest identyczne jak przy poprzednich projektach rozszerzenia mechanizmu MRC, takich jak połączenie Słowenii lub Chorwacji z</w:t>
      </w:r>
      <w:r w:rsidR="005B2D89">
        <w:rPr>
          <w:color w:val="000000" w:themeColor="text1"/>
        </w:rPr>
        <w:t> </w:t>
      </w:r>
      <w:r>
        <w:rPr>
          <w:color w:val="000000" w:themeColor="text1"/>
        </w:rPr>
        <w:t>MRC. Dokładny harmonogram testów zostanie udostępniony uczestnikom rynku z odpowiednim wyprzedzeniem</w:t>
      </w:r>
      <w:r w:rsidR="005D6095">
        <w:rPr>
          <w:color w:val="000000" w:themeColor="text1"/>
        </w:rPr>
        <w:t>.</w:t>
      </w:r>
    </w:p>
    <w:p w14:paraId="19079BD1" w14:textId="61FD7FE7" w:rsidR="003D0D96" w:rsidRPr="004809D6" w:rsidRDefault="004809D6" w:rsidP="36CD0169">
      <w:pPr>
        <w:jc w:val="both"/>
        <w:rPr>
          <w:rFonts w:eastAsia="Times New Roman" w:cstheme="minorHAnsi"/>
          <w:b/>
          <w:color w:val="000000" w:themeColor="text1"/>
        </w:rPr>
      </w:pPr>
      <w:r>
        <w:rPr>
          <w:b/>
          <w:color w:val="000000" w:themeColor="text1"/>
        </w:rPr>
        <w:t>W jaki sposób uczestnicy rynku mogą uzyskać więcej informacji o projekcie?</w:t>
      </w:r>
    </w:p>
    <w:p w14:paraId="4DEF435C" w14:textId="4899561A" w:rsidR="004809D6" w:rsidRPr="004809D6" w:rsidRDefault="004809D6" w:rsidP="004809D6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00000" w:themeColor="text1"/>
        </w:rPr>
      </w:pPr>
      <w:r>
        <w:rPr>
          <w:color w:val="000000" w:themeColor="text1"/>
        </w:rPr>
        <w:t xml:space="preserve">Podmioty uczestniczące w projekcie będą nadal regularnie publikować </w:t>
      </w:r>
      <w:r>
        <w:rPr>
          <w:b/>
          <w:color w:val="000000" w:themeColor="text1"/>
        </w:rPr>
        <w:t>wspólne informacje prasowe</w:t>
      </w:r>
      <w:r>
        <w:rPr>
          <w:color w:val="000000" w:themeColor="text1"/>
        </w:rPr>
        <w:t xml:space="preserve"> </w:t>
      </w:r>
      <w:r w:rsidR="00E542B6">
        <w:rPr>
          <w:color w:val="000000" w:themeColor="text1"/>
        </w:rPr>
        <w:t>na temat realizacji głównych etapów projektu</w:t>
      </w:r>
      <w:r>
        <w:rPr>
          <w:color w:val="000000" w:themeColor="text1"/>
        </w:rPr>
        <w:t>; komunikaty te są dostępne na stronach internetowych podmiotów uczestniczących w projekcie.</w:t>
      </w:r>
    </w:p>
    <w:p w14:paraId="144F3FB2" w14:textId="11ADEE07" w:rsidR="004809D6" w:rsidRPr="004809D6" w:rsidRDefault="004809D6" w:rsidP="004809D6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00000" w:themeColor="text1"/>
        </w:rPr>
      </w:pPr>
      <w:r>
        <w:rPr>
          <w:color w:val="000000" w:themeColor="text1"/>
        </w:rPr>
        <w:t xml:space="preserve">Niniejsza </w:t>
      </w:r>
      <w:r>
        <w:rPr>
          <w:b/>
          <w:color w:val="000000" w:themeColor="text1"/>
        </w:rPr>
        <w:t>informacja</w:t>
      </w:r>
      <w:r>
        <w:rPr>
          <w:color w:val="000000" w:themeColor="text1"/>
        </w:rPr>
        <w:t xml:space="preserve"> również zostanie opublikowana na stronach internetowych podmiotów uczestniczących w projekcie i będzie regularnie uzupełniana o wszelkie nowe informacje przydatne dla uczestników rynku. Uczestnicy rynku będą informowani o aktualizacjach wprowadzanych w niniejszej informacji.</w:t>
      </w:r>
    </w:p>
    <w:p w14:paraId="010FF400" w14:textId="774ECC61" w:rsidR="004809D6" w:rsidRDefault="004809D6" w:rsidP="004809D6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00000" w:themeColor="text1"/>
        </w:rPr>
      </w:pPr>
      <w:r>
        <w:rPr>
          <w:color w:val="000000" w:themeColor="text1"/>
        </w:rPr>
        <w:t xml:space="preserve">Informacja o statusie projektu dla przedstawicieli uczestników rynku będzie przekazywana podczas </w:t>
      </w:r>
      <w:r>
        <w:rPr>
          <w:b/>
          <w:color w:val="000000" w:themeColor="text1"/>
        </w:rPr>
        <w:t>spotkań MESC</w:t>
      </w:r>
      <w:r>
        <w:rPr>
          <w:color w:val="000000" w:themeColor="text1"/>
        </w:rPr>
        <w:t>.</w:t>
      </w:r>
    </w:p>
    <w:p w14:paraId="2960D1CA" w14:textId="0D34A073" w:rsidR="004809D6" w:rsidRPr="00FC7A41" w:rsidRDefault="00C125BF" w:rsidP="00FC7A41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00000" w:themeColor="text1"/>
        </w:rPr>
      </w:pPr>
      <w:r>
        <w:rPr>
          <w:b/>
          <w:color w:val="000000" w:themeColor="text1"/>
        </w:rPr>
        <w:t>Warsztaty</w:t>
      </w:r>
      <w:r>
        <w:rPr>
          <w:color w:val="000000" w:themeColor="text1"/>
        </w:rPr>
        <w:t xml:space="preserve"> dla uczestników rynku planowane są przed okresem testowym, jak również przed uruchomieniem nowego rozwiązania. </w:t>
      </w:r>
    </w:p>
    <w:p w14:paraId="3616FC9D" w14:textId="0BEFA3D3" w:rsidR="00BF5C1B" w:rsidRPr="00E452FA" w:rsidRDefault="003D0D96" w:rsidP="36CD0169">
      <w:pPr>
        <w:jc w:val="both"/>
        <w:rPr>
          <w:b/>
        </w:rPr>
      </w:pPr>
      <w:r>
        <w:rPr>
          <w:b/>
        </w:rPr>
        <w:t>Ogólne omówienie koncepcji technicznej i działania mechanizmu</w:t>
      </w:r>
    </w:p>
    <w:p w14:paraId="4272CE38" w14:textId="50E229B4" w:rsidR="00BF5C1B" w:rsidRDefault="00BF5C1B" w:rsidP="36CD0169">
      <w:pPr>
        <w:jc w:val="both"/>
      </w:pPr>
      <w:r>
        <w:t>O</w:t>
      </w:r>
      <w:r w:rsidR="00FC7A41">
        <w:t xml:space="preserve">peratorzy </w:t>
      </w:r>
      <w:r>
        <w:t>S</w:t>
      </w:r>
      <w:r w:rsidR="00FC7A41">
        <w:t xml:space="preserve">ystemów </w:t>
      </w:r>
      <w:r>
        <w:t>P</w:t>
      </w:r>
      <w:r w:rsidR="00FC7A41">
        <w:t>rzesyłowych</w:t>
      </w:r>
      <w:r>
        <w:t xml:space="preserve"> </w:t>
      </w:r>
      <w:r w:rsidR="00FC7A41">
        <w:t xml:space="preserve">(OSP) </w:t>
      </w:r>
      <w:r>
        <w:t>uczestnicząc</w:t>
      </w:r>
      <w:r w:rsidR="00FC7A41">
        <w:t>y</w:t>
      </w:r>
      <w:r>
        <w:t xml:space="preserve"> w projekcie zdecydowa</w:t>
      </w:r>
      <w:r w:rsidR="00FC7A41">
        <w:t>li</w:t>
      </w:r>
      <w:r>
        <w:t xml:space="preserve"> się na zastosowanie </w:t>
      </w:r>
      <w:r>
        <w:rPr>
          <w:b/>
        </w:rPr>
        <w:t>wspólnego systemu OSP dla połączonych obszarów rynkowych DE-AT-PL-4M</w:t>
      </w:r>
      <w:r>
        <w:t>, który będzie scentralizowanym rozwiązaniem dla procesów realizowanych przed i po łączeniu rynków na rzecz OSP. System ten będzie udoskonaloną wersją rozwiązania Modified TSO Management Function (mTMF), które jest obecnie wykorzystywane w ramach obszaru 4MMC. Na mTMF będą się składały dwa moduły: moduł mTMF jako taki będzie interfejsem łączącym z OSP, natomiast wymiana danych z NEMO będzie prowadzona poprzez moduł TSO Cloud systemu mTMF. System mTMF będzie odpowiadał za zbieranie wielkości zdolności (ATC) od poszczególnych OSP dla granic DE-AT-PL-4M, za wyznaczanie zharmonizowanych parametrów ATC, a</w:t>
      </w:r>
      <w:r w:rsidR="005B2D89">
        <w:t> </w:t>
      </w:r>
      <w:r>
        <w:t xml:space="preserve">następnie przekazywanie ostatecznych oferowanych </w:t>
      </w:r>
      <w:r w:rsidR="00093ADC">
        <w:t>zdolności przesyłowych</w:t>
      </w:r>
      <w:r>
        <w:t xml:space="preserve"> (</w:t>
      </w:r>
      <w:proofErr w:type="spellStart"/>
      <w:r>
        <w:t>ATC</w:t>
      </w:r>
      <w:proofErr w:type="spellEnd"/>
      <w:r>
        <w:t xml:space="preserve">) do </w:t>
      </w:r>
      <w:proofErr w:type="spellStart"/>
      <w:r>
        <w:t>NEMO</w:t>
      </w:r>
      <w:proofErr w:type="spellEnd"/>
      <w:r>
        <w:t xml:space="preserve"> DE-AT-PL-4M. Do mTMF będą również trafiały przekazywane przez NEMO wyniki </w:t>
      </w:r>
      <w:r w:rsidR="005B2D89">
        <w:t>łączenia rynków</w:t>
      </w:r>
      <w:r>
        <w:t xml:space="preserve">, a system ten będzie przeprowadzał weryfikację wyników w odniesieniu do przekazanych wartości ATC oraz przekazywał pliki z wynikami OSP. </w:t>
      </w:r>
    </w:p>
    <w:p w14:paraId="036C835D" w14:textId="0C39E4A2" w:rsidR="00E452FA" w:rsidRDefault="00E452FA" w:rsidP="36CD0169">
      <w:pPr>
        <w:jc w:val="both"/>
      </w:pPr>
      <w:r>
        <w:t xml:space="preserve">Do </w:t>
      </w:r>
      <w:r>
        <w:rPr>
          <w:b/>
        </w:rPr>
        <w:t>głównych działań</w:t>
      </w:r>
      <w:r>
        <w:t xml:space="preserve">, jakie zostaną przeprowadzone w odniesieniu do granic DE-AT-PL-4M </w:t>
      </w:r>
      <w:r>
        <w:rPr>
          <w:b/>
        </w:rPr>
        <w:t>na poszczególnych etapach łączenia rynków</w:t>
      </w:r>
      <w:r>
        <w:t xml:space="preserve"> należeć będą:</w:t>
      </w:r>
    </w:p>
    <w:p w14:paraId="2A296485" w14:textId="02879504" w:rsidR="003D0D96" w:rsidRPr="00E452FA" w:rsidRDefault="00053132" w:rsidP="00E452FA">
      <w:pPr>
        <w:pStyle w:val="Akapitzlist"/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Przed połączeniem rynków:</w:t>
      </w:r>
    </w:p>
    <w:p w14:paraId="62B5EA9E" w14:textId="17F76F1C" w:rsidR="00053132" w:rsidRDefault="002B6318" w:rsidP="00053132">
      <w:pPr>
        <w:pStyle w:val="Akapitzlist"/>
        <w:numPr>
          <w:ilvl w:val="0"/>
          <w:numId w:val="3"/>
        </w:numPr>
        <w:jc w:val="both"/>
      </w:pPr>
      <w:r>
        <w:t xml:space="preserve">Dostępne Zdolności Przesyłowe (ATC) są obliczane przez OSP i przekazywane do wspólnego systemu OSP DE-AT-PL-4M (mTMF). Aktualne charakterystyki techniczne na granicach CZ, DE, PL, SK nadal obowiązują. </w:t>
      </w:r>
    </w:p>
    <w:p w14:paraId="3659443F" w14:textId="5170FB88" w:rsidR="00053132" w:rsidRDefault="00EA3F01" w:rsidP="00053132">
      <w:pPr>
        <w:pStyle w:val="Akapitzlist"/>
        <w:numPr>
          <w:ilvl w:val="0"/>
          <w:numId w:val="3"/>
        </w:numPr>
        <w:jc w:val="both"/>
      </w:pPr>
      <w:r>
        <w:t>mTMF określa ostateczne wartości ATC dla wszystkich granic w oparciu o zasadę niższej wartości.</w:t>
      </w:r>
    </w:p>
    <w:p w14:paraId="5EF65B91" w14:textId="368D2D02" w:rsidR="00327D9E" w:rsidRDefault="00327D9E" w:rsidP="00053132">
      <w:pPr>
        <w:pStyle w:val="Akapitzlist"/>
        <w:numPr>
          <w:ilvl w:val="0"/>
          <w:numId w:val="3"/>
        </w:numPr>
        <w:jc w:val="both"/>
      </w:pPr>
      <w:r>
        <w:t>Wartości przepustowości (ATC) są publikowane na Platformie ENTSO-E, na stronie internetowej JAO, na stronie internetowej mTMF oraz opcjonalnie na stronach internetowych NEMO.</w:t>
      </w:r>
    </w:p>
    <w:p w14:paraId="1292D3B0" w14:textId="7440CB91" w:rsidR="00053132" w:rsidRDefault="00EA3F01" w:rsidP="00053132">
      <w:pPr>
        <w:pStyle w:val="Akapitzlist"/>
        <w:numPr>
          <w:ilvl w:val="0"/>
          <w:numId w:val="3"/>
        </w:numPr>
        <w:jc w:val="both"/>
      </w:pPr>
      <w:r>
        <w:t xml:space="preserve">Ostateczne zdolności międzystrefowe podawane są operatorom NEMO dla obszarów DE-AT-PL-4M w module </w:t>
      </w:r>
      <w:proofErr w:type="spellStart"/>
      <w:r w:rsidR="00093ADC">
        <w:t>TSO</w:t>
      </w:r>
      <w:proofErr w:type="spellEnd"/>
      <w:r>
        <w:t xml:space="preserve"> </w:t>
      </w:r>
      <w:proofErr w:type="spellStart"/>
      <w:r>
        <w:t>Cloud</w:t>
      </w:r>
      <w:proofErr w:type="spellEnd"/>
      <w:r>
        <w:t>.</w:t>
      </w:r>
    </w:p>
    <w:p w14:paraId="57F0DFBD" w14:textId="2681E5C2" w:rsidR="00053132" w:rsidRDefault="00327D9E" w:rsidP="00053132">
      <w:pPr>
        <w:pStyle w:val="Akapitzlist"/>
        <w:numPr>
          <w:ilvl w:val="0"/>
          <w:numId w:val="3"/>
        </w:numPr>
        <w:jc w:val="both"/>
      </w:pPr>
      <w:r>
        <w:lastRenderedPageBreak/>
        <w:t>NEMO przyjmują zlecenia od uczestników rynku i dokonują ich agregacji po Godzinie Zamknięcia Bramki (GCT). Uwzględniane będą umowy regulujące działanie wielu NEMO (MNA), tam, gdzie zostały wprowadzone w życie.</w:t>
      </w:r>
    </w:p>
    <w:p w14:paraId="756C4CAC" w14:textId="4762B77D" w:rsidR="00BF5C1B" w:rsidRDefault="00EA3F01" w:rsidP="00BF5C1B">
      <w:pPr>
        <w:pStyle w:val="Akapitzlist"/>
        <w:numPr>
          <w:ilvl w:val="0"/>
          <w:numId w:val="3"/>
        </w:numPr>
        <w:jc w:val="both"/>
      </w:pPr>
      <w:r>
        <w:t>Operatorzy NEMO dla obszarów DE-AT-PL-4M przekazują zdolności międzystrefowe i arkusze zleceń do systemu PCR Cloud.</w:t>
      </w:r>
    </w:p>
    <w:p w14:paraId="1616CD0B" w14:textId="77777777" w:rsidR="00BF5C1B" w:rsidRPr="005B2D89" w:rsidRDefault="00BF5C1B" w:rsidP="00BF5C1B">
      <w:pPr>
        <w:pStyle w:val="Akapitzlist"/>
        <w:jc w:val="both"/>
      </w:pPr>
    </w:p>
    <w:p w14:paraId="04C9D454" w14:textId="42D77E8A" w:rsidR="00053132" w:rsidRPr="00E452FA" w:rsidRDefault="00053132" w:rsidP="00DB4392">
      <w:pPr>
        <w:pStyle w:val="Akapitzlist"/>
        <w:keepNext/>
        <w:numPr>
          <w:ilvl w:val="0"/>
          <w:numId w:val="4"/>
        </w:numPr>
        <w:ind w:left="714" w:hanging="357"/>
        <w:jc w:val="both"/>
        <w:rPr>
          <w:b/>
          <w:i/>
        </w:rPr>
      </w:pPr>
      <w:r>
        <w:rPr>
          <w:b/>
          <w:i/>
        </w:rPr>
        <w:t>Łączenie rynków:</w:t>
      </w:r>
    </w:p>
    <w:p w14:paraId="7244309C" w14:textId="4A193CF5" w:rsidR="00053132" w:rsidRDefault="00053132" w:rsidP="00DB4392">
      <w:pPr>
        <w:pStyle w:val="Akapitzlist"/>
        <w:keepNext/>
        <w:numPr>
          <w:ilvl w:val="0"/>
          <w:numId w:val="3"/>
        </w:numPr>
        <w:ind w:left="714" w:hanging="357"/>
        <w:jc w:val="both"/>
      </w:pPr>
      <w:r>
        <w:t xml:space="preserve">Algorytm EUPHEMIA oblicza wyniki </w:t>
      </w:r>
      <w:r w:rsidR="005B2D89">
        <w:t>łączenia rynków</w:t>
      </w:r>
      <w:r>
        <w:t xml:space="preserve"> (z uwzględnieniem transgranicznych zdolności przesyłowych i arkuszy zleceń przekazywanych przez NEMO), a wstępne wyniki są udostępnianie operatorom NEMO w systemie PCR Cloud. </w:t>
      </w:r>
    </w:p>
    <w:p w14:paraId="45813E06" w14:textId="74CE7155" w:rsidR="00053132" w:rsidRDefault="00053132" w:rsidP="00DB4392">
      <w:pPr>
        <w:pStyle w:val="Akapitzlist"/>
        <w:keepNext/>
        <w:numPr>
          <w:ilvl w:val="0"/>
          <w:numId w:val="3"/>
        </w:numPr>
        <w:ind w:left="714" w:hanging="357"/>
        <w:jc w:val="both"/>
      </w:pPr>
      <w:r>
        <w:t xml:space="preserve">NEMO pełniący rolę koordynatora regionalnego przekazuje wstępne wyniki do modułu </w:t>
      </w:r>
      <w:proofErr w:type="spellStart"/>
      <w:r w:rsidR="00093ADC">
        <w:t>TSO</w:t>
      </w:r>
      <w:proofErr w:type="spellEnd"/>
      <w:r>
        <w:t xml:space="preserve"> </w:t>
      </w:r>
      <w:proofErr w:type="spellStart"/>
      <w:r>
        <w:t>Cloud</w:t>
      </w:r>
      <w:proofErr w:type="spellEnd"/>
      <w:r>
        <w:t>.</w:t>
      </w:r>
    </w:p>
    <w:p w14:paraId="3D5A2743" w14:textId="2EDECD3B" w:rsidR="00053132" w:rsidRDefault="00EA3F01" w:rsidP="00DB4392">
      <w:pPr>
        <w:pStyle w:val="Akapitzlist"/>
        <w:keepNext/>
        <w:numPr>
          <w:ilvl w:val="0"/>
          <w:numId w:val="3"/>
        </w:numPr>
        <w:ind w:left="714" w:hanging="357"/>
        <w:jc w:val="both"/>
      </w:pPr>
      <w:r>
        <w:t xml:space="preserve">W </w:t>
      </w:r>
      <w:proofErr w:type="spellStart"/>
      <w:r w:rsidR="00093ADC">
        <w:t>TSO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przeprowadzana jest weryfikacja wyników, a następnie potwierdzenie przekazywane jest Operatorom NEMO.</w:t>
      </w:r>
    </w:p>
    <w:p w14:paraId="7C85777B" w14:textId="79C500C9" w:rsidR="00053132" w:rsidRDefault="00053132" w:rsidP="00DB4392">
      <w:pPr>
        <w:pStyle w:val="Akapitzlist"/>
        <w:keepNext/>
        <w:numPr>
          <w:ilvl w:val="0"/>
          <w:numId w:val="3"/>
        </w:numPr>
        <w:ind w:left="714" w:hanging="357"/>
        <w:jc w:val="both"/>
      </w:pPr>
      <w:r>
        <w:t>Operatorzy NEMO przekazują ostateczne potwierdzenie do systemu PCR Cloud.</w:t>
      </w:r>
    </w:p>
    <w:p w14:paraId="2018FD95" w14:textId="347413F2" w:rsidR="00053132" w:rsidRDefault="00053132" w:rsidP="00DB4392">
      <w:pPr>
        <w:pStyle w:val="Akapitzlist"/>
        <w:keepNext/>
        <w:numPr>
          <w:ilvl w:val="0"/>
          <w:numId w:val="3"/>
        </w:numPr>
        <w:ind w:left="714" w:hanging="357"/>
        <w:jc w:val="both"/>
      </w:pPr>
      <w:r>
        <w:t xml:space="preserve">W PCR Cloud wystawiane jest Globalne Ostateczne Potwierdzenie (Global Final Confirmation), które jest następnie przekazywane przez NEMO pełniącego rolę koordynatora regionalnego do </w:t>
      </w:r>
      <w:proofErr w:type="spellStart"/>
      <w:r w:rsidR="00093ADC">
        <w:t>TSO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. </w:t>
      </w:r>
    </w:p>
    <w:p w14:paraId="03C4E91B" w14:textId="36FC10E7" w:rsidR="00BF5C1B" w:rsidRDefault="00327D9E" w:rsidP="006C18A4">
      <w:pPr>
        <w:pStyle w:val="Akapitzlist"/>
        <w:keepNext/>
        <w:numPr>
          <w:ilvl w:val="0"/>
          <w:numId w:val="3"/>
        </w:numPr>
        <w:ind w:left="714" w:hanging="357"/>
        <w:jc w:val="both"/>
      </w:pPr>
      <w:r>
        <w:t xml:space="preserve">Operatorzy NEMO publikują ostateczne wyniki </w:t>
      </w:r>
      <w:r w:rsidR="005B2D89">
        <w:t>łączenia rynków</w:t>
      </w:r>
      <w:r>
        <w:t xml:space="preserve">. </w:t>
      </w:r>
    </w:p>
    <w:p w14:paraId="7F213F70" w14:textId="77777777" w:rsidR="00FC7A41" w:rsidRPr="005B2D89" w:rsidRDefault="00FC7A41" w:rsidP="00FC7A41">
      <w:pPr>
        <w:pStyle w:val="Akapitzlist"/>
        <w:keepNext/>
        <w:ind w:left="714"/>
        <w:jc w:val="both"/>
      </w:pPr>
    </w:p>
    <w:p w14:paraId="18BD369F" w14:textId="17190DDC" w:rsidR="00053132" w:rsidRPr="00E452FA" w:rsidRDefault="00053132" w:rsidP="001A29DE">
      <w:pPr>
        <w:pStyle w:val="Akapitzlist"/>
        <w:keepNext/>
        <w:numPr>
          <w:ilvl w:val="0"/>
          <w:numId w:val="4"/>
        </w:numPr>
        <w:ind w:left="714" w:hanging="357"/>
        <w:jc w:val="both"/>
        <w:rPr>
          <w:b/>
          <w:i/>
        </w:rPr>
      </w:pPr>
      <w:r>
        <w:rPr>
          <w:b/>
          <w:i/>
        </w:rPr>
        <w:t>Po połączeniu:</w:t>
      </w:r>
    </w:p>
    <w:p w14:paraId="02FA055C" w14:textId="0A6E368E" w:rsidR="00327D9E" w:rsidRDefault="00327D9E" w:rsidP="001A29DE">
      <w:pPr>
        <w:pStyle w:val="Akapitzlist"/>
        <w:keepNext/>
        <w:numPr>
          <w:ilvl w:val="0"/>
          <w:numId w:val="3"/>
        </w:numPr>
        <w:ind w:left="714" w:hanging="357"/>
        <w:jc w:val="both"/>
      </w:pPr>
      <w:r>
        <w:t>Rozliczenia i rozrachunki lokalne są wykonywane przez Operatorów NEMO występujących jako Kontrahent Centralny (CCP) lub przez podmioty, którym NEMO zlecili pełnienie funkcji lokalnego Kontrahenta Centralnego (CCP).</w:t>
      </w:r>
    </w:p>
    <w:p w14:paraId="420CD81B" w14:textId="22EC908B" w:rsidR="00327D9E" w:rsidRDefault="00327D9E" w:rsidP="001A29DE">
      <w:pPr>
        <w:pStyle w:val="Akapitzlist"/>
        <w:keepNext/>
        <w:numPr>
          <w:ilvl w:val="0"/>
          <w:numId w:val="3"/>
        </w:numPr>
        <w:ind w:left="714" w:hanging="357"/>
        <w:jc w:val="both"/>
      </w:pPr>
      <w:r>
        <w:t>Wyniki rozrachunków są przekazywane przez Operatorów NEMO uczestnikom rynku i</w:t>
      </w:r>
      <w:r w:rsidR="005B2D89">
        <w:t> </w:t>
      </w:r>
      <w:r>
        <w:t>spedytorom.</w:t>
      </w:r>
    </w:p>
    <w:p w14:paraId="5C551372" w14:textId="12E87E8F" w:rsidR="00053132" w:rsidRDefault="00053132" w:rsidP="001A29DE">
      <w:pPr>
        <w:pStyle w:val="Akapitzlist"/>
        <w:keepNext/>
        <w:numPr>
          <w:ilvl w:val="0"/>
          <w:numId w:val="3"/>
        </w:numPr>
        <w:ind w:left="714" w:hanging="357"/>
        <w:jc w:val="both"/>
      </w:pPr>
      <w:r>
        <w:t xml:space="preserve">Wyniki </w:t>
      </w:r>
      <w:r w:rsidR="005B2D89">
        <w:t>łączenia rynków</w:t>
      </w:r>
      <w:r>
        <w:t xml:space="preserve"> (przepływy i ceny transgraniczne) są przekazywane poszczególnym OSP za pośrednictwem systemu mTMF. </w:t>
      </w:r>
    </w:p>
    <w:p w14:paraId="2C711E9E" w14:textId="3A8307B5" w:rsidR="00053132" w:rsidRDefault="00327D9E" w:rsidP="001A29DE">
      <w:pPr>
        <w:pStyle w:val="Akapitzlist"/>
        <w:keepNext/>
        <w:numPr>
          <w:ilvl w:val="0"/>
          <w:numId w:val="3"/>
        </w:numPr>
        <w:ind w:left="714" w:hanging="357"/>
        <w:jc w:val="both"/>
      </w:pPr>
      <w:r>
        <w:t>Spedytorzy składają OSP transgraniczne nominacje (na fizyczne przepływy) w wyznaczonym terminie.</w:t>
      </w:r>
    </w:p>
    <w:p w14:paraId="7091FFF1" w14:textId="7362F958" w:rsidR="00327D9E" w:rsidRPr="00E452FA" w:rsidRDefault="00327D9E" w:rsidP="001A29DE">
      <w:pPr>
        <w:pStyle w:val="Akapitzlist"/>
        <w:keepNext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Finansowe </w:t>
      </w:r>
      <w:r w:rsidR="00093ADC">
        <w:rPr>
          <w:rFonts w:asciiTheme="minorHAnsi" w:hAnsiTheme="minorHAnsi"/>
        </w:rPr>
        <w:t xml:space="preserve">rozliczenia </w:t>
      </w:r>
      <w:r>
        <w:rPr>
          <w:rFonts w:asciiTheme="minorHAnsi" w:hAnsiTheme="minorHAnsi"/>
        </w:rPr>
        <w:t>przepływ</w:t>
      </w:r>
      <w:r w:rsidR="00093ADC">
        <w:rPr>
          <w:rFonts w:asciiTheme="minorHAnsi" w:hAnsiTheme="minorHAnsi"/>
        </w:rPr>
        <w:t>ów</w:t>
      </w:r>
      <w:r>
        <w:rPr>
          <w:rFonts w:asciiTheme="minorHAnsi" w:hAnsiTheme="minorHAnsi"/>
        </w:rPr>
        <w:t xml:space="preserve"> energii (rozliczenia i rozrachunki transgraniczne) realizowane są </w:t>
      </w:r>
      <w:r w:rsidR="00947712">
        <w:rPr>
          <w:rFonts w:asciiTheme="minorHAnsi" w:hAnsiTheme="minorHAnsi"/>
        </w:rPr>
        <w:t xml:space="preserve">przez </w:t>
      </w:r>
      <w:r>
        <w:rPr>
          <w:rFonts w:asciiTheme="minorHAnsi" w:hAnsiTheme="minorHAnsi"/>
        </w:rPr>
        <w:t>operatorów NEMO/CCP lub OSP pełniących rolę Spedytorów na rzecz Operatorów NEMO.</w:t>
      </w:r>
    </w:p>
    <w:p w14:paraId="5C0041B8" w14:textId="1CEE124D" w:rsidR="00327D9E" w:rsidRPr="00E452FA" w:rsidRDefault="00327D9E" w:rsidP="001A29DE">
      <w:pPr>
        <w:pStyle w:val="Akapitzlist"/>
        <w:keepNext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W przypadku </w:t>
      </w:r>
      <w:r w:rsidR="00AD347C">
        <w:rPr>
          <w:rFonts w:asciiTheme="minorHAnsi" w:hAnsiTheme="minorHAnsi"/>
        </w:rPr>
        <w:t xml:space="preserve">wystąpienia </w:t>
      </w:r>
      <w:r>
        <w:rPr>
          <w:rFonts w:asciiTheme="minorHAnsi" w:hAnsiTheme="minorHAnsi"/>
        </w:rPr>
        <w:t>ograniczeń przesyłowych (</w:t>
      </w:r>
      <w:r w:rsidR="00AD347C">
        <w:rPr>
          <w:rFonts w:asciiTheme="minorHAnsi" w:hAnsiTheme="minorHAnsi"/>
        </w:rPr>
        <w:t xml:space="preserve">co jest odzwierciedlone </w:t>
      </w:r>
      <w:r>
        <w:rPr>
          <w:rFonts w:asciiTheme="minorHAnsi" w:hAnsiTheme="minorHAnsi"/>
        </w:rPr>
        <w:t>różn</w:t>
      </w:r>
      <w:r w:rsidR="00AD347C">
        <w:rPr>
          <w:rFonts w:asciiTheme="minorHAnsi" w:hAnsiTheme="minorHAnsi"/>
        </w:rPr>
        <w:t>ymi</w:t>
      </w:r>
      <w:r>
        <w:rPr>
          <w:rFonts w:asciiTheme="minorHAnsi" w:hAnsiTheme="minorHAnsi"/>
        </w:rPr>
        <w:t xml:space="preserve"> </w:t>
      </w:r>
      <w:r w:rsidR="00AD347C">
        <w:rPr>
          <w:rFonts w:asciiTheme="minorHAnsi" w:hAnsiTheme="minorHAnsi"/>
        </w:rPr>
        <w:t>cenami</w:t>
      </w:r>
      <w:r>
        <w:rPr>
          <w:rFonts w:asciiTheme="minorHAnsi" w:hAnsiTheme="minorHAnsi"/>
        </w:rPr>
        <w:t xml:space="preserve"> rozliczeniow</w:t>
      </w:r>
      <w:r w:rsidR="00AD347C">
        <w:rPr>
          <w:rFonts w:asciiTheme="minorHAnsi" w:hAnsiTheme="minorHAnsi"/>
        </w:rPr>
        <w:t>ymi</w:t>
      </w:r>
      <w:r>
        <w:rPr>
          <w:rFonts w:asciiTheme="minorHAnsi" w:hAnsiTheme="minorHAnsi"/>
        </w:rPr>
        <w:t xml:space="preserve"> w sąsiednich </w:t>
      </w:r>
      <w:r w:rsidR="00AD347C">
        <w:rPr>
          <w:rFonts w:asciiTheme="minorHAnsi" w:hAnsiTheme="minorHAnsi"/>
        </w:rPr>
        <w:t>strefach cenowych</w:t>
      </w:r>
      <w:r>
        <w:rPr>
          <w:rFonts w:asciiTheme="minorHAnsi" w:hAnsiTheme="minorHAnsi"/>
        </w:rPr>
        <w:t xml:space="preserve">) do obliczania dochodu z ograniczeń przyjmuje się </w:t>
      </w:r>
      <w:r w:rsidR="00AD347C">
        <w:rPr>
          <w:rFonts w:asciiTheme="minorHAnsi" w:hAnsiTheme="minorHAnsi"/>
        </w:rPr>
        <w:t>przepływy energii</w:t>
      </w:r>
      <w:r>
        <w:rPr>
          <w:rFonts w:asciiTheme="minorHAnsi" w:hAnsiTheme="minorHAnsi"/>
        </w:rPr>
        <w:t xml:space="preserve"> i ceny w ramach wymiany międzysystemowej. W ramach obecnych granic obszaru 4MMC (CZ-SK, HU-SK, HU-RO) system mTMF będzie nadal obliczać dochód z ograniczeń i publikować w imieniu OSP związane z tym dane na Platformie Informacyjnej. Dochód z ograniczeń na tych granicach jest rozliczany dwustronnie pomiędzy OSP występującymi jako Spedytorzy. Na wszystkich pozostałych granicach funkcję scentralizowanego podziału dochodu z ograniczeń pełnić będzie JAO, a Spedytorzy/CCP będą przekazywać pobrane </w:t>
      </w:r>
      <w:r w:rsidR="00AD347C">
        <w:rPr>
          <w:rFonts w:asciiTheme="minorHAnsi" w:hAnsiTheme="minorHAnsi"/>
        </w:rPr>
        <w:t>dochody</w:t>
      </w:r>
      <w:r>
        <w:rPr>
          <w:rFonts w:asciiTheme="minorHAnsi" w:hAnsiTheme="minorHAnsi"/>
        </w:rPr>
        <w:t xml:space="preserve"> z ograniczeń do JAO na potrzeby </w:t>
      </w:r>
      <w:r w:rsidR="00AD347C">
        <w:rPr>
          <w:rFonts w:asciiTheme="minorHAnsi" w:hAnsiTheme="minorHAnsi"/>
        </w:rPr>
        <w:t xml:space="preserve">ich </w:t>
      </w:r>
      <w:r>
        <w:rPr>
          <w:rFonts w:asciiTheme="minorHAnsi" w:hAnsiTheme="minorHAnsi"/>
        </w:rPr>
        <w:t xml:space="preserve">podziału pomiędzy OSP. </w:t>
      </w:r>
      <w:r>
        <w:rPr>
          <w:rFonts w:asciiTheme="minorHAnsi" w:hAnsiTheme="minorHAnsi"/>
        </w:rPr>
        <w:lastRenderedPageBreak/>
        <w:t xml:space="preserve">Dane dotyczące dochodu z ograniczeń będą również publikowane na stronie internetowej JAO oraz na Platformie Informacyjnej. </w:t>
      </w:r>
    </w:p>
    <w:p w14:paraId="29F56AE3" w14:textId="74679902" w:rsidR="36CD0169" w:rsidRPr="00FC7A41" w:rsidRDefault="36CD0169" w:rsidP="00D00FFA">
      <w:pPr>
        <w:jc w:val="both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sectPr w:rsidR="36CD0169" w:rsidRPr="00FC7A41" w:rsidSect="001A39D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7293D" w14:textId="77777777" w:rsidR="00234C9C" w:rsidRDefault="00234C9C" w:rsidP="00864DAE">
      <w:pPr>
        <w:spacing w:after="0" w:line="240" w:lineRule="auto"/>
      </w:pPr>
      <w:r>
        <w:separator/>
      </w:r>
    </w:p>
  </w:endnote>
  <w:endnote w:type="continuationSeparator" w:id="0">
    <w:p w14:paraId="54269F94" w14:textId="77777777" w:rsidR="00234C9C" w:rsidRDefault="00234C9C" w:rsidP="00864DAE">
      <w:pPr>
        <w:spacing w:after="0" w:line="240" w:lineRule="auto"/>
      </w:pPr>
      <w:r>
        <w:continuationSeparator/>
      </w:r>
    </w:p>
  </w:endnote>
  <w:endnote w:type="continuationNotice" w:id="1">
    <w:p w14:paraId="61A02257" w14:textId="77777777" w:rsidR="00234C9C" w:rsidRDefault="00234C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8838433"/>
      <w:docPartObj>
        <w:docPartGallery w:val="Page Numbers (Bottom of Page)"/>
        <w:docPartUnique/>
      </w:docPartObj>
    </w:sdtPr>
    <w:sdtEndPr/>
    <w:sdtContent>
      <w:p w14:paraId="44A91A89" w14:textId="7A360923" w:rsidR="007E0160" w:rsidRDefault="007E01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8A4">
          <w:t>1</w:t>
        </w:r>
        <w:r>
          <w:fldChar w:fldCharType="end"/>
        </w:r>
      </w:p>
    </w:sdtContent>
  </w:sdt>
  <w:p w14:paraId="6C0B284F" w14:textId="77777777" w:rsidR="007E0160" w:rsidRDefault="007E01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60205" w14:textId="77777777" w:rsidR="00234C9C" w:rsidRDefault="00234C9C" w:rsidP="00864DAE">
      <w:pPr>
        <w:spacing w:after="0" w:line="240" w:lineRule="auto"/>
      </w:pPr>
      <w:r>
        <w:separator/>
      </w:r>
    </w:p>
  </w:footnote>
  <w:footnote w:type="continuationSeparator" w:id="0">
    <w:p w14:paraId="042F396C" w14:textId="77777777" w:rsidR="00234C9C" w:rsidRDefault="00234C9C" w:rsidP="00864DAE">
      <w:pPr>
        <w:spacing w:after="0" w:line="240" w:lineRule="auto"/>
      </w:pPr>
      <w:r>
        <w:continuationSeparator/>
      </w:r>
    </w:p>
  </w:footnote>
  <w:footnote w:type="continuationNotice" w:id="1">
    <w:p w14:paraId="6A1BECA4" w14:textId="77777777" w:rsidR="00234C9C" w:rsidRDefault="00234C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33C9" w14:textId="77777777" w:rsidR="006A03CB" w:rsidRDefault="006A03CB">
    <w:pPr>
      <w:pStyle w:val="Nagwek"/>
    </w:pPr>
    <w:r>
      <w:rPr>
        <w:noProof/>
      </w:rPr>
      <w:drawing>
        <wp:inline distT="0" distB="0" distL="0" distR="0" wp14:anchorId="437F1B6D" wp14:editId="7E4BEBED">
          <wp:extent cx="5760720" cy="7636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3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2F09"/>
    <w:multiLevelType w:val="hybridMultilevel"/>
    <w:tmpl w:val="19ECD59A"/>
    <w:lvl w:ilvl="0" w:tplc="09E880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C266E"/>
    <w:multiLevelType w:val="hybridMultilevel"/>
    <w:tmpl w:val="0C6E4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7561D"/>
    <w:multiLevelType w:val="hybridMultilevel"/>
    <w:tmpl w:val="2A381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934C3"/>
    <w:multiLevelType w:val="hybridMultilevel"/>
    <w:tmpl w:val="B6EE3B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C1CD2"/>
    <w:multiLevelType w:val="hybridMultilevel"/>
    <w:tmpl w:val="3090770E"/>
    <w:lvl w:ilvl="0" w:tplc="04CC89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2MjQzNDKwsDAzNjFX0lEKTi0uzszPAykwqQUA+9XIXCwAAAA="/>
  </w:docVars>
  <w:rsids>
    <w:rsidRoot w:val="00B3051B"/>
    <w:rsid w:val="00015435"/>
    <w:rsid w:val="0002254B"/>
    <w:rsid w:val="00042F05"/>
    <w:rsid w:val="00053132"/>
    <w:rsid w:val="00066B3B"/>
    <w:rsid w:val="00070701"/>
    <w:rsid w:val="00076989"/>
    <w:rsid w:val="00084DA7"/>
    <w:rsid w:val="00093ADC"/>
    <w:rsid w:val="00094826"/>
    <w:rsid w:val="000B7DCA"/>
    <w:rsid w:val="000E0D1C"/>
    <w:rsid w:val="000E493D"/>
    <w:rsid w:val="000F0766"/>
    <w:rsid w:val="000F605C"/>
    <w:rsid w:val="00100928"/>
    <w:rsid w:val="00114533"/>
    <w:rsid w:val="00120F67"/>
    <w:rsid w:val="00143A03"/>
    <w:rsid w:val="001601DD"/>
    <w:rsid w:val="001A29DE"/>
    <w:rsid w:val="001A39D1"/>
    <w:rsid w:val="001E6FF8"/>
    <w:rsid w:val="001E772D"/>
    <w:rsid w:val="00207A96"/>
    <w:rsid w:val="002118E6"/>
    <w:rsid w:val="00234C9C"/>
    <w:rsid w:val="00240D5A"/>
    <w:rsid w:val="00262BAE"/>
    <w:rsid w:val="00280111"/>
    <w:rsid w:val="002855BF"/>
    <w:rsid w:val="002A756F"/>
    <w:rsid w:val="002B6318"/>
    <w:rsid w:val="002F735A"/>
    <w:rsid w:val="0030140A"/>
    <w:rsid w:val="0032637D"/>
    <w:rsid w:val="00327D9E"/>
    <w:rsid w:val="00327F6D"/>
    <w:rsid w:val="003300C7"/>
    <w:rsid w:val="00337022"/>
    <w:rsid w:val="0036735E"/>
    <w:rsid w:val="00372037"/>
    <w:rsid w:val="00387486"/>
    <w:rsid w:val="003B53B3"/>
    <w:rsid w:val="003C1986"/>
    <w:rsid w:val="003D0D96"/>
    <w:rsid w:val="003E44FC"/>
    <w:rsid w:val="00413243"/>
    <w:rsid w:val="00417A9D"/>
    <w:rsid w:val="00424990"/>
    <w:rsid w:val="00431E71"/>
    <w:rsid w:val="0045656F"/>
    <w:rsid w:val="00466DE1"/>
    <w:rsid w:val="00475DF2"/>
    <w:rsid w:val="004809D6"/>
    <w:rsid w:val="00484745"/>
    <w:rsid w:val="004D507E"/>
    <w:rsid w:val="00500AD4"/>
    <w:rsid w:val="005020BF"/>
    <w:rsid w:val="00545E76"/>
    <w:rsid w:val="0056041A"/>
    <w:rsid w:val="00566677"/>
    <w:rsid w:val="0058552D"/>
    <w:rsid w:val="005944B4"/>
    <w:rsid w:val="005A159D"/>
    <w:rsid w:val="005B2D89"/>
    <w:rsid w:val="005B3261"/>
    <w:rsid w:val="005D6095"/>
    <w:rsid w:val="005E1B90"/>
    <w:rsid w:val="005E3E0A"/>
    <w:rsid w:val="006039A6"/>
    <w:rsid w:val="006144E4"/>
    <w:rsid w:val="00633E05"/>
    <w:rsid w:val="00646F60"/>
    <w:rsid w:val="0065042C"/>
    <w:rsid w:val="00656956"/>
    <w:rsid w:val="00665E75"/>
    <w:rsid w:val="00694740"/>
    <w:rsid w:val="006959F1"/>
    <w:rsid w:val="006A03CB"/>
    <w:rsid w:val="006A7BCC"/>
    <w:rsid w:val="006B28B1"/>
    <w:rsid w:val="006B41DA"/>
    <w:rsid w:val="006C18A4"/>
    <w:rsid w:val="00712E26"/>
    <w:rsid w:val="00733B7A"/>
    <w:rsid w:val="00735F07"/>
    <w:rsid w:val="00760FA6"/>
    <w:rsid w:val="00765A56"/>
    <w:rsid w:val="007721A4"/>
    <w:rsid w:val="00772B5E"/>
    <w:rsid w:val="00772D8C"/>
    <w:rsid w:val="00782106"/>
    <w:rsid w:val="007B189E"/>
    <w:rsid w:val="007B35AA"/>
    <w:rsid w:val="007C747C"/>
    <w:rsid w:val="007D7F4D"/>
    <w:rsid w:val="007E0160"/>
    <w:rsid w:val="007E4767"/>
    <w:rsid w:val="007F79AA"/>
    <w:rsid w:val="00816336"/>
    <w:rsid w:val="008166D4"/>
    <w:rsid w:val="00816D8E"/>
    <w:rsid w:val="00816F1F"/>
    <w:rsid w:val="00824B73"/>
    <w:rsid w:val="00830758"/>
    <w:rsid w:val="00846117"/>
    <w:rsid w:val="0084745D"/>
    <w:rsid w:val="008547B8"/>
    <w:rsid w:val="00864DAE"/>
    <w:rsid w:val="00883C88"/>
    <w:rsid w:val="00885069"/>
    <w:rsid w:val="008A3BEA"/>
    <w:rsid w:val="008B3C55"/>
    <w:rsid w:val="008B447C"/>
    <w:rsid w:val="008E3834"/>
    <w:rsid w:val="008E3C7E"/>
    <w:rsid w:val="008E6C45"/>
    <w:rsid w:val="008E7C5D"/>
    <w:rsid w:val="008F562A"/>
    <w:rsid w:val="00902633"/>
    <w:rsid w:val="0092167D"/>
    <w:rsid w:val="00941D8D"/>
    <w:rsid w:val="0094581C"/>
    <w:rsid w:val="00947712"/>
    <w:rsid w:val="00950C53"/>
    <w:rsid w:val="00992AE1"/>
    <w:rsid w:val="00994F9B"/>
    <w:rsid w:val="009A118E"/>
    <w:rsid w:val="009A29D4"/>
    <w:rsid w:val="009D110C"/>
    <w:rsid w:val="009F01C0"/>
    <w:rsid w:val="009F12EF"/>
    <w:rsid w:val="009F44B6"/>
    <w:rsid w:val="009F67CF"/>
    <w:rsid w:val="00A25CAD"/>
    <w:rsid w:val="00A30043"/>
    <w:rsid w:val="00A37E17"/>
    <w:rsid w:val="00A4023E"/>
    <w:rsid w:val="00A41910"/>
    <w:rsid w:val="00A45514"/>
    <w:rsid w:val="00A64DA5"/>
    <w:rsid w:val="00AA4D8A"/>
    <w:rsid w:val="00AB21E6"/>
    <w:rsid w:val="00AB5C9F"/>
    <w:rsid w:val="00AC2D5D"/>
    <w:rsid w:val="00AD347C"/>
    <w:rsid w:val="00B03EAC"/>
    <w:rsid w:val="00B2543D"/>
    <w:rsid w:val="00B3051B"/>
    <w:rsid w:val="00B57309"/>
    <w:rsid w:val="00B66E2C"/>
    <w:rsid w:val="00B73E74"/>
    <w:rsid w:val="00B929B5"/>
    <w:rsid w:val="00B9516F"/>
    <w:rsid w:val="00BA0EE6"/>
    <w:rsid w:val="00BB1099"/>
    <w:rsid w:val="00BB5445"/>
    <w:rsid w:val="00BC19E2"/>
    <w:rsid w:val="00BD24C7"/>
    <w:rsid w:val="00BD6983"/>
    <w:rsid w:val="00BE5520"/>
    <w:rsid w:val="00BF5C1B"/>
    <w:rsid w:val="00C0556F"/>
    <w:rsid w:val="00C0741E"/>
    <w:rsid w:val="00C1023B"/>
    <w:rsid w:val="00C125BF"/>
    <w:rsid w:val="00C27538"/>
    <w:rsid w:val="00C577B8"/>
    <w:rsid w:val="00C57C4A"/>
    <w:rsid w:val="00C6636C"/>
    <w:rsid w:val="00C75D07"/>
    <w:rsid w:val="00C931E0"/>
    <w:rsid w:val="00CA3842"/>
    <w:rsid w:val="00CB3FBD"/>
    <w:rsid w:val="00CC042E"/>
    <w:rsid w:val="00CC258A"/>
    <w:rsid w:val="00CC6FB8"/>
    <w:rsid w:val="00D00FFA"/>
    <w:rsid w:val="00D4005F"/>
    <w:rsid w:val="00D50F8B"/>
    <w:rsid w:val="00D54E15"/>
    <w:rsid w:val="00D63F7B"/>
    <w:rsid w:val="00D67A45"/>
    <w:rsid w:val="00D84255"/>
    <w:rsid w:val="00DA012F"/>
    <w:rsid w:val="00DA2482"/>
    <w:rsid w:val="00DA3CBE"/>
    <w:rsid w:val="00DB4392"/>
    <w:rsid w:val="00DE1CC5"/>
    <w:rsid w:val="00DF007C"/>
    <w:rsid w:val="00E048E2"/>
    <w:rsid w:val="00E14538"/>
    <w:rsid w:val="00E30D28"/>
    <w:rsid w:val="00E371D3"/>
    <w:rsid w:val="00E450BC"/>
    <w:rsid w:val="00E452FA"/>
    <w:rsid w:val="00E542B6"/>
    <w:rsid w:val="00E56F25"/>
    <w:rsid w:val="00E611AA"/>
    <w:rsid w:val="00E6459E"/>
    <w:rsid w:val="00E74FE7"/>
    <w:rsid w:val="00E77ECE"/>
    <w:rsid w:val="00E83679"/>
    <w:rsid w:val="00E84EB6"/>
    <w:rsid w:val="00EA3F01"/>
    <w:rsid w:val="00EC5976"/>
    <w:rsid w:val="00EC7A5E"/>
    <w:rsid w:val="00ED2037"/>
    <w:rsid w:val="00ED3818"/>
    <w:rsid w:val="00EE125C"/>
    <w:rsid w:val="00EE6D1E"/>
    <w:rsid w:val="00EE7DB6"/>
    <w:rsid w:val="00F03B4C"/>
    <w:rsid w:val="00F04A6B"/>
    <w:rsid w:val="00F14849"/>
    <w:rsid w:val="00F1619A"/>
    <w:rsid w:val="00F26FEA"/>
    <w:rsid w:val="00F33EC3"/>
    <w:rsid w:val="00F41D79"/>
    <w:rsid w:val="00F53056"/>
    <w:rsid w:val="00F62634"/>
    <w:rsid w:val="00F82483"/>
    <w:rsid w:val="00F90112"/>
    <w:rsid w:val="00F973FE"/>
    <w:rsid w:val="00FB12EA"/>
    <w:rsid w:val="00FB6C53"/>
    <w:rsid w:val="00FC114E"/>
    <w:rsid w:val="00FC7A41"/>
    <w:rsid w:val="00FD7E67"/>
    <w:rsid w:val="00FE38F6"/>
    <w:rsid w:val="00FF4819"/>
    <w:rsid w:val="028DAB99"/>
    <w:rsid w:val="16350682"/>
    <w:rsid w:val="36A51615"/>
    <w:rsid w:val="36C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D7E5"/>
  <w15:docId w15:val="{2C4F27B5-E09F-4ECA-B2F2-C9CA4A8B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4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DAE"/>
  </w:style>
  <w:style w:type="paragraph" w:styleId="Stopka">
    <w:name w:val="footer"/>
    <w:basedOn w:val="Normalny"/>
    <w:link w:val="StopkaZnak"/>
    <w:uiPriority w:val="99"/>
    <w:unhideWhenUsed/>
    <w:rsid w:val="00864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DAE"/>
  </w:style>
  <w:style w:type="character" w:styleId="Odwoaniedokomentarza">
    <w:name w:val="annotation reference"/>
    <w:basedOn w:val="Domylnaczcionkaakapitu"/>
    <w:uiPriority w:val="99"/>
    <w:semiHidden/>
    <w:unhideWhenUsed/>
    <w:rsid w:val="009F12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2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2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2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2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2E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D6983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F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kapitzlist">
    <w:name w:val="List Paragraph"/>
    <w:basedOn w:val="Normalny"/>
    <w:uiPriority w:val="34"/>
    <w:qFormat/>
    <w:rsid w:val="0030140A"/>
    <w:pPr>
      <w:spacing w:after="200" w:line="276" w:lineRule="auto"/>
      <w:ind w:left="720"/>
      <w:contextualSpacing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3B6439C6F5F49A0C7DB428A0A69CE" ma:contentTypeVersion="" ma:contentTypeDescription="Create a new document." ma:contentTypeScope="" ma:versionID="f9f2518fd037bd95641d826d52a1ba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175aa2481df563792036dccb917bc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9C90-7C5D-482D-9984-EAE05CF4D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0288DD-385E-4072-A524-C2B7CB170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95AE2-0951-4043-9846-A17C682000E6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FE8F85E-8137-4258-83EB-BF1EAD7F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1350</Words>
  <Characters>8102</Characters>
  <Application>Microsoft Office Word</Application>
  <DocSecurity>0</DocSecurity>
  <Lines>67</Lines>
  <Paragraphs>18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MAVIR ZRt.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Szirják Bianka</dc:creator>
  <cp:keywords/>
  <dc:description/>
  <cp:lastModifiedBy>Grabowska-Kurek Kamila</cp:lastModifiedBy>
  <cp:revision>4</cp:revision>
  <dcterms:created xsi:type="dcterms:W3CDTF">2020-03-24T09:48:00Z</dcterms:created>
  <dcterms:modified xsi:type="dcterms:W3CDTF">2020-03-24T10:17:00Z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0x0101007253B6439C6F5F49A0C7DB428A0A69CE</vt:lpwstr>
  </property>
</Properties>
</file>